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lang w:val="en-US" w:eastAsia="zh-CN"/>
        </w:rPr>
      </w:pPr>
      <w:r>
        <w:rPr>
          <w:rFonts w:hint="default"/>
          <w:b/>
          <w:bCs/>
          <w:sz w:val="36"/>
          <w:szCs w:val="36"/>
          <w:lang w:val="en-US" w:eastAsia="zh-CN"/>
        </w:rPr>
        <w:t>“</w:t>
      </w:r>
      <w:r>
        <w:rPr>
          <w:rFonts w:hint="eastAsia"/>
          <w:b/>
          <w:bCs/>
          <w:sz w:val="36"/>
          <w:szCs w:val="36"/>
          <w:lang w:val="en-US" w:eastAsia="zh-CN"/>
        </w:rPr>
        <w:t>其他需要说明白的事项”相关说明</w:t>
      </w:r>
    </w:p>
    <w:p>
      <w:pPr>
        <w:jc w:val="left"/>
        <w:rPr>
          <w:rFonts w:hint="eastAsia"/>
          <w:b/>
          <w:bCs/>
          <w:sz w:val="28"/>
          <w:szCs w:val="28"/>
          <w:lang w:val="en-US" w:eastAsia="zh-CN"/>
        </w:rPr>
      </w:pPr>
      <w:r>
        <w:rPr>
          <w:rFonts w:hint="eastAsia"/>
          <w:b/>
          <w:bCs/>
          <w:sz w:val="28"/>
          <w:szCs w:val="28"/>
          <w:lang w:val="en-US" w:eastAsia="zh-CN"/>
        </w:rPr>
        <w:t>1环境保护设施设计、施工和验收过程简况</w:t>
      </w:r>
    </w:p>
    <w:p>
      <w:pPr>
        <w:jc w:val="left"/>
        <w:rPr>
          <w:rFonts w:hint="eastAsia"/>
          <w:b/>
          <w:bCs/>
          <w:sz w:val="28"/>
          <w:szCs w:val="28"/>
          <w:lang w:val="en-US" w:eastAsia="zh-CN"/>
        </w:rPr>
      </w:pPr>
      <w:r>
        <w:rPr>
          <w:rFonts w:hint="eastAsia"/>
          <w:b/>
          <w:bCs/>
          <w:sz w:val="28"/>
          <w:szCs w:val="28"/>
          <w:lang w:val="en-US" w:eastAsia="zh-CN"/>
        </w:rPr>
        <w:t xml:space="preserve">1.1设计简况 </w:t>
      </w:r>
    </w:p>
    <w:p>
      <w:pPr>
        <w:spacing w:line="360" w:lineRule="auto"/>
        <w:jc w:val="both"/>
        <w:rPr>
          <w:rFonts w:hint="eastAsia"/>
          <w:b w:val="0"/>
          <w:bCs w:val="0"/>
          <w:sz w:val="24"/>
          <w:szCs w:val="24"/>
          <w:lang w:val="en-US" w:eastAsia="zh-CN"/>
        </w:rPr>
      </w:pPr>
      <w:r>
        <w:rPr>
          <w:rFonts w:hint="eastAsia"/>
          <w:b/>
          <w:bCs/>
          <w:sz w:val="28"/>
          <w:szCs w:val="28"/>
          <w:lang w:val="en-US" w:eastAsia="zh-CN"/>
        </w:rPr>
        <w:t xml:space="preserve">   </w:t>
      </w:r>
      <w:r>
        <w:rPr>
          <w:rFonts w:hint="eastAsia" w:asciiTheme="minorEastAsia" w:hAnsiTheme="minorEastAsia" w:eastAsiaTheme="minorEastAsia" w:cstheme="minorEastAsia"/>
          <w:sz w:val="24"/>
          <w:szCs w:val="24"/>
          <w:lang w:val="en-US" w:eastAsia="zh-CN"/>
        </w:rPr>
        <w:t>成都川康铸锻有限责任公司三吨自由锻电液锤及附属设施项目</w:t>
      </w:r>
      <w:r>
        <w:rPr>
          <w:rFonts w:hint="eastAsia"/>
          <w:b w:val="0"/>
          <w:bCs w:val="0"/>
          <w:sz w:val="24"/>
          <w:szCs w:val="24"/>
          <w:lang w:val="en-US" w:eastAsia="zh-CN"/>
        </w:rPr>
        <w:t>的环境保护设施纳入了初步设计，环境保护设施的设计符合环境保护设计设计规范的要求，编制了环境保护篇章，落实了防治污染和生态破坏的措施以及环境保护设施投资预算。</w:t>
      </w:r>
    </w:p>
    <w:p>
      <w:pPr>
        <w:jc w:val="left"/>
        <w:rPr>
          <w:rFonts w:hint="eastAsia"/>
          <w:b/>
          <w:bCs/>
          <w:sz w:val="28"/>
          <w:szCs w:val="28"/>
          <w:lang w:val="en-US" w:eastAsia="zh-CN"/>
        </w:rPr>
      </w:pPr>
      <w:r>
        <w:rPr>
          <w:rFonts w:hint="eastAsia"/>
          <w:b/>
          <w:bCs/>
          <w:sz w:val="28"/>
          <w:szCs w:val="28"/>
          <w:lang w:val="en-US" w:eastAsia="zh-CN"/>
        </w:rPr>
        <w:t>1.2施工简况</w:t>
      </w:r>
    </w:p>
    <w:p>
      <w:pPr>
        <w:spacing w:line="360" w:lineRule="auto"/>
        <w:ind w:firstLine="480" w:firstLineChars="200"/>
        <w:jc w:val="left"/>
        <w:rPr>
          <w:rFonts w:hint="eastAsia"/>
          <w:b w:val="0"/>
          <w:bCs w:val="0"/>
          <w:sz w:val="28"/>
          <w:szCs w:val="28"/>
          <w:lang w:val="en-US" w:eastAsia="zh-CN"/>
        </w:rPr>
      </w:pPr>
      <w:r>
        <w:rPr>
          <w:rFonts w:hint="eastAsia" w:asciiTheme="minorEastAsia" w:hAnsiTheme="minorEastAsia" w:eastAsiaTheme="minorEastAsia" w:cstheme="minorEastAsia"/>
          <w:sz w:val="24"/>
          <w:szCs w:val="24"/>
          <w:lang w:val="en-US" w:eastAsia="zh-CN"/>
        </w:rPr>
        <w:t>成都川康铸锻有限责任公司三吨自由锻电液锤及附属设施项目</w:t>
      </w:r>
      <w:r>
        <w:rPr>
          <w:rFonts w:hint="eastAsia"/>
          <w:b w:val="0"/>
          <w:bCs w:val="0"/>
          <w:sz w:val="24"/>
          <w:szCs w:val="24"/>
          <w:lang w:val="en-US" w:eastAsia="zh-CN"/>
        </w:rPr>
        <w:t>将环境保护设施纳入录入施工合同，环境保护设施的建设进度和资金得到了保证，项目建设过程中组织实施了《</w:t>
      </w:r>
      <w:r>
        <w:rPr>
          <w:rFonts w:hint="eastAsia" w:asciiTheme="minorEastAsia" w:hAnsiTheme="minorEastAsia" w:eastAsiaTheme="minorEastAsia" w:cstheme="minorEastAsia"/>
          <w:sz w:val="24"/>
          <w:szCs w:val="24"/>
          <w:lang w:val="en-US" w:eastAsia="zh-CN"/>
        </w:rPr>
        <w:t>成都川康铸锻有限责任公司三吨自由锻电液锤及附属设施项目</w:t>
      </w:r>
      <w:r>
        <w:rPr>
          <w:rFonts w:hint="eastAsia"/>
          <w:b w:val="0"/>
          <w:bCs w:val="0"/>
          <w:sz w:val="24"/>
          <w:szCs w:val="24"/>
          <w:lang w:val="en-US" w:eastAsia="zh-CN"/>
        </w:rPr>
        <w:t>的环境影响报告表》（</w:t>
      </w:r>
      <w:r>
        <w:rPr>
          <w:rFonts w:hint="eastAsia" w:asciiTheme="minorEastAsia" w:hAnsiTheme="minorEastAsia" w:eastAsiaTheme="minorEastAsia" w:cstheme="minorEastAsia"/>
          <w:sz w:val="24"/>
          <w:szCs w:val="24"/>
          <w:lang w:val="en-US" w:eastAsia="zh-CN"/>
        </w:rPr>
        <w:t>雅安市环境科技服务部</w:t>
      </w:r>
      <w:r>
        <w:rPr>
          <w:rFonts w:hint="eastAsia"/>
          <w:b w:val="0"/>
          <w:bCs w:val="0"/>
          <w:sz w:val="24"/>
          <w:szCs w:val="24"/>
          <w:lang w:val="en-US" w:eastAsia="zh-CN"/>
        </w:rPr>
        <w:t>，2016年1月）及审批部门审批决定（</w:t>
      </w:r>
      <w:r>
        <w:rPr>
          <w:rFonts w:hint="eastAsia" w:asciiTheme="minorEastAsia" w:hAnsiTheme="minorEastAsia" w:eastAsiaTheme="minorEastAsia" w:cstheme="minorEastAsia"/>
          <w:sz w:val="24"/>
          <w:szCs w:val="24"/>
          <w:highlight w:val="none"/>
          <w:lang w:val="en-US" w:eastAsia="zh-CN"/>
        </w:rPr>
        <w:t>彭州市环境保护局</w:t>
      </w:r>
      <w:r>
        <w:rPr>
          <w:rFonts w:hint="eastAsia"/>
          <w:b w:val="0"/>
          <w:bCs w:val="0"/>
          <w:sz w:val="24"/>
          <w:szCs w:val="24"/>
          <w:lang w:val="en-US" w:eastAsia="zh-CN"/>
        </w:rPr>
        <w:t>以</w:t>
      </w:r>
      <w:r>
        <w:rPr>
          <w:rFonts w:hint="eastAsia" w:asciiTheme="minorEastAsia" w:hAnsiTheme="minorEastAsia" w:eastAsiaTheme="minorEastAsia" w:cstheme="minorEastAsia"/>
          <w:sz w:val="24"/>
          <w:szCs w:val="24"/>
          <w:highlight w:val="none"/>
          <w:lang w:val="en-US" w:eastAsia="zh-CN"/>
        </w:rPr>
        <w:t>彭环审</w:t>
      </w:r>
      <w:r>
        <w:rPr>
          <w:rFonts w:hint="eastAsia" w:ascii="宋体" w:hAnsi="宋体" w:cs="宋体"/>
          <w:color w:val="auto"/>
          <w:sz w:val="24"/>
          <w:szCs w:val="24"/>
          <w:highlight w:val="none"/>
          <w:lang w:val="en-US" w:eastAsia="zh-CN"/>
        </w:rPr>
        <w:t>【2016】</w:t>
      </w:r>
      <w:r>
        <w:rPr>
          <w:rFonts w:hint="eastAsia" w:asciiTheme="minorEastAsia" w:hAnsiTheme="minorEastAsia" w:eastAsiaTheme="minorEastAsia" w:cstheme="minorEastAsia"/>
          <w:sz w:val="24"/>
          <w:szCs w:val="24"/>
          <w:highlight w:val="none"/>
          <w:lang w:val="en-US" w:eastAsia="zh-CN"/>
        </w:rPr>
        <w:t>21号</w:t>
      </w:r>
      <w:r>
        <w:rPr>
          <w:rFonts w:hint="eastAsia"/>
          <w:b w:val="0"/>
          <w:bCs w:val="0"/>
          <w:sz w:val="24"/>
          <w:szCs w:val="24"/>
          <w:lang w:val="en-US" w:eastAsia="zh-CN"/>
        </w:rPr>
        <w:t>）文中提出的环境保护措施。</w:t>
      </w:r>
    </w:p>
    <w:p>
      <w:pPr>
        <w:jc w:val="left"/>
        <w:rPr>
          <w:rFonts w:hint="eastAsia"/>
          <w:b/>
          <w:bCs/>
          <w:sz w:val="28"/>
          <w:szCs w:val="28"/>
          <w:lang w:val="en-US" w:eastAsia="zh-CN"/>
        </w:rPr>
      </w:pPr>
      <w:r>
        <w:rPr>
          <w:rFonts w:hint="eastAsia"/>
          <w:b/>
          <w:bCs/>
          <w:sz w:val="28"/>
          <w:szCs w:val="28"/>
          <w:lang w:val="en-US" w:eastAsia="zh-CN"/>
        </w:rPr>
        <w:t>1.3验收过程简况</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2018年6月，</w:t>
      </w:r>
      <w:r>
        <w:rPr>
          <w:rFonts w:hint="eastAsia" w:asciiTheme="minorEastAsia" w:hAnsiTheme="minorEastAsia" w:eastAsiaTheme="minorEastAsia" w:cstheme="minorEastAsia"/>
          <w:sz w:val="24"/>
          <w:szCs w:val="24"/>
          <w:lang w:val="en-US" w:eastAsia="zh-CN"/>
        </w:rPr>
        <w:t>成都川康铸锻有限责任公司三吨自由锻电液锤及附属设施项目</w:t>
      </w:r>
      <w:r>
        <w:rPr>
          <w:rFonts w:hint="eastAsia"/>
          <w:b w:val="0"/>
          <w:bCs w:val="0"/>
          <w:sz w:val="24"/>
          <w:szCs w:val="24"/>
          <w:lang w:val="en-US" w:eastAsia="zh-CN"/>
        </w:rPr>
        <w:t>竣工，并委托四川九诚检测技术有限公司开展该项目的竣工环境保护验收监测工作。2018年7月，四川九诚检测技术有限公司有关技术人员进行了现场踏勘，收集了相关资料，并在此基础上编制了竣工环境保护验收监测方案，2018年7月12-13日，四川九诚检测技术有限公司有关技术人员进行现场监测，根据现场检查和监测结果，编制完成《</w:t>
      </w:r>
      <w:r>
        <w:rPr>
          <w:rFonts w:hint="eastAsia" w:asciiTheme="minorEastAsia" w:hAnsiTheme="minorEastAsia" w:eastAsiaTheme="minorEastAsia" w:cstheme="minorEastAsia"/>
          <w:sz w:val="24"/>
          <w:szCs w:val="24"/>
          <w:lang w:val="en-US" w:eastAsia="zh-CN"/>
        </w:rPr>
        <w:t>成都川康铸锻有限责任公司三吨自由锻电液锤及附属设施项目</w:t>
      </w:r>
      <w:r>
        <w:rPr>
          <w:rFonts w:hint="eastAsia"/>
          <w:b w:val="0"/>
          <w:bCs w:val="0"/>
          <w:sz w:val="24"/>
          <w:szCs w:val="24"/>
          <w:lang w:val="en-US" w:eastAsia="zh-CN"/>
        </w:rPr>
        <w:t>竣工环境保护验收监测表》。</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2018年8月8日，</w:t>
      </w:r>
      <w:r>
        <w:rPr>
          <w:rFonts w:hint="eastAsia" w:asciiTheme="minorEastAsia" w:hAnsiTheme="minorEastAsia" w:eastAsiaTheme="minorEastAsia" w:cstheme="minorEastAsia"/>
          <w:sz w:val="24"/>
          <w:szCs w:val="24"/>
          <w:lang w:val="en-US" w:eastAsia="zh-CN"/>
        </w:rPr>
        <w:t>成都川康铸锻有限责任公司</w:t>
      </w:r>
      <w:r>
        <w:rPr>
          <w:rFonts w:hint="eastAsia"/>
          <w:b w:val="0"/>
          <w:bCs w:val="0"/>
          <w:sz w:val="24"/>
          <w:szCs w:val="24"/>
          <w:lang w:val="en-US" w:eastAsia="zh-CN"/>
        </w:rPr>
        <w:t>在四川省成都市彭州市濛阳镇园石村六社组织召开了《</w:t>
      </w:r>
      <w:r>
        <w:rPr>
          <w:rFonts w:hint="eastAsia" w:asciiTheme="minorEastAsia" w:hAnsiTheme="minorEastAsia" w:eastAsiaTheme="minorEastAsia" w:cstheme="minorEastAsia"/>
          <w:sz w:val="24"/>
          <w:szCs w:val="24"/>
          <w:lang w:val="en-US" w:eastAsia="zh-CN"/>
        </w:rPr>
        <w:t>成都川康铸锻有限责任公司三吨自由锻电液锤及附属设施项目</w:t>
      </w:r>
      <w:r>
        <w:rPr>
          <w:rFonts w:hint="eastAsia"/>
          <w:b w:val="0"/>
          <w:bCs w:val="0"/>
          <w:sz w:val="24"/>
          <w:szCs w:val="24"/>
          <w:lang w:val="en-US" w:eastAsia="zh-CN"/>
        </w:rPr>
        <w:t>》建设项目竣工环境保护验收会。参加会议的有：建设单位（</w:t>
      </w:r>
      <w:r>
        <w:rPr>
          <w:rFonts w:hint="eastAsia" w:asciiTheme="minorEastAsia" w:hAnsiTheme="minorEastAsia" w:eastAsiaTheme="minorEastAsia" w:cstheme="minorEastAsia"/>
          <w:sz w:val="24"/>
          <w:szCs w:val="24"/>
          <w:lang w:val="en-US" w:eastAsia="zh-CN"/>
        </w:rPr>
        <w:t>成都川康铸锻有限责任公司</w:t>
      </w:r>
      <w:r>
        <w:rPr>
          <w:rFonts w:hint="eastAsia"/>
          <w:b w:val="0"/>
          <w:bCs w:val="0"/>
          <w:sz w:val="24"/>
          <w:szCs w:val="24"/>
          <w:lang w:val="en-US" w:eastAsia="zh-CN"/>
        </w:rPr>
        <w:t>）、验收监测单位（四川九诚检测技术有限公司）、特邀专家等。会议成立了建设项目竣工环境保护验收工作组。</w:t>
      </w:r>
      <w:r>
        <w:rPr>
          <w:rFonts w:hint="eastAsia" w:asciiTheme="minorEastAsia" w:hAnsiTheme="minorEastAsia" w:eastAsiaTheme="minorEastAsia" w:cstheme="minorEastAsia"/>
          <w:sz w:val="24"/>
          <w:szCs w:val="24"/>
          <w:lang w:val="en-US" w:eastAsia="zh-CN"/>
        </w:rPr>
        <w:t>三吨自由锻电液锤及附属设施项目</w:t>
      </w:r>
      <w:r>
        <w:rPr>
          <w:rFonts w:hint="eastAsia"/>
          <w:b w:val="0"/>
          <w:bCs w:val="0"/>
          <w:sz w:val="24"/>
          <w:szCs w:val="24"/>
          <w:lang w:val="en-US" w:eastAsia="zh-CN"/>
        </w:rPr>
        <w:t>环保审查、审批手续完备，环保设施及措施按环评要求建设和落实，环保管理检查符合相关要求，所测污染物达标排放，符合建设项目竣工环境保护验收条件，验收组同意通过环境保护自主验收。</w:t>
      </w:r>
    </w:p>
    <w:p>
      <w:pPr>
        <w:jc w:val="left"/>
        <w:rPr>
          <w:rFonts w:hint="eastAsia"/>
          <w:b/>
          <w:bCs/>
          <w:sz w:val="28"/>
          <w:szCs w:val="28"/>
          <w:lang w:val="en-US" w:eastAsia="zh-CN"/>
        </w:rPr>
      </w:pPr>
      <w:r>
        <w:rPr>
          <w:rFonts w:hint="eastAsia"/>
          <w:b/>
          <w:bCs/>
          <w:sz w:val="28"/>
          <w:szCs w:val="28"/>
          <w:lang w:val="en-US" w:eastAsia="zh-CN"/>
        </w:rPr>
        <w:t>1.4公众反馈意见及处理情况</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建设项目设计、施工和验收期间未收到过公众反馈意见或投诉、反馈。</w:t>
      </w:r>
    </w:p>
    <w:p>
      <w:pPr>
        <w:jc w:val="left"/>
        <w:rPr>
          <w:rFonts w:hint="eastAsia"/>
          <w:b/>
          <w:bCs/>
          <w:sz w:val="28"/>
          <w:szCs w:val="28"/>
          <w:lang w:val="en-US" w:eastAsia="zh-CN"/>
        </w:rPr>
      </w:pPr>
      <w:r>
        <w:rPr>
          <w:rFonts w:hint="eastAsia"/>
          <w:b/>
          <w:bCs/>
          <w:sz w:val="28"/>
          <w:szCs w:val="28"/>
          <w:lang w:val="en-US" w:eastAsia="zh-CN"/>
        </w:rPr>
        <w:t>2其他环境保护设施的落实情况</w:t>
      </w:r>
    </w:p>
    <w:p>
      <w:pPr>
        <w:spacing w:line="360" w:lineRule="auto"/>
        <w:ind w:firstLine="480" w:firstLineChars="200"/>
        <w:jc w:val="left"/>
        <w:rPr>
          <w:rFonts w:hint="eastAsia"/>
          <w:b w:val="0"/>
          <w:bCs w:val="0"/>
          <w:sz w:val="24"/>
          <w:szCs w:val="24"/>
          <w:lang w:val="en-US" w:eastAsia="zh-CN"/>
        </w:rPr>
      </w:pPr>
      <w:r>
        <w:rPr>
          <w:rFonts w:hint="eastAsia"/>
          <w:b w:val="0"/>
          <w:bCs w:val="0"/>
          <w:sz w:val="24"/>
          <w:szCs w:val="24"/>
          <w:lang w:val="en-US" w:eastAsia="zh-CN"/>
        </w:rPr>
        <w:t>本项目环境影响报告书及其审批部门审批决定中提出的除环境保护设施外的其他环境保护措施主要包括制度措施和配套措施等，现将需要说明的措施内容和要求梳理如下：</w:t>
      </w:r>
    </w:p>
    <w:p>
      <w:pPr>
        <w:jc w:val="left"/>
        <w:rPr>
          <w:rFonts w:hint="eastAsia"/>
          <w:b/>
          <w:bCs/>
          <w:sz w:val="28"/>
          <w:szCs w:val="28"/>
          <w:lang w:val="en-US" w:eastAsia="zh-CN"/>
        </w:rPr>
      </w:pPr>
      <w:r>
        <w:rPr>
          <w:rFonts w:hint="eastAsia"/>
          <w:b/>
          <w:bCs/>
          <w:sz w:val="28"/>
          <w:szCs w:val="28"/>
          <w:lang w:val="en-US" w:eastAsia="zh-CN"/>
        </w:rPr>
        <w:t>2.1制度措施落实情况</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（1）环保组织机构及规章制度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本项目建立了环保组织机构，并制定了《成都川康铸锻有限责任公司环境保护管理制度》，明确规定了环境保护管理职责，</w:t>
      </w:r>
      <w:r>
        <w:rPr>
          <w:rFonts w:hint="eastAsia" w:asciiTheme="minorEastAsia" w:hAnsiTheme="minorEastAsia" w:eastAsiaTheme="minorEastAsia" w:cstheme="minorEastAsia"/>
          <w:sz w:val="24"/>
          <w:szCs w:val="24"/>
          <w:lang w:eastAsia="zh-CN"/>
        </w:rPr>
        <w:t>将环保工作纳入公司日常管理服务工作中，对环保设施建立了定期检查、维护制度，保证环保设施正常运行。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（2）环境风险防范措施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不涉及</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（3）环境监测计划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inorEastAsia" w:hAnsiTheme="minorEastAsia" w:cstheme="minorEastAsia"/>
          <w:sz w:val="24"/>
          <w:szCs w:val="24"/>
          <w:lang w:val="en-US" w:eastAsia="zh-CN"/>
        </w:rPr>
      </w:pPr>
      <w:bookmarkStart w:id="0" w:name="_GoBack"/>
      <w:bookmarkEnd w:id="0"/>
      <w:r>
        <w:rPr>
          <w:rFonts w:hint="eastAsia" w:asciiTheme="minorEastAsia" w:hAnsiTheme="minorEastAsia" w:cstheme="minorEastAsia"/>
          <w:sz w:val="24"/>
          <w:szCs w:val="24"/>
          <w:lang w:val="en-US" w:eastAsia="zh-CN"/>
        </w:rPr>
        <w:t>不涉及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b/>
          <w:bCs/>
          <w:sz w:val="28"/>
          <w:szCs w:val="28"/>
          <w:lang w:val="en-US" w:eastAsia="zh-CN"/>
        </w:rPr>
      </w:pPr>
      <w:r>
        <w:rPr>
          <w:rFonts w:hint="eastAsia"/>
          <w:b/>
          <w:bCs/>
          <w:sz w:val="28"/>
          <w:szCs w:val="28"/>
          <w:lang w:val="en-US" w:eastAsia="zh-CN"/>
        </w:rPr>
        <w:t>2.2配套措施落实情况</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b w:val="0"/>
          <w:bCs w:val="0"/>
          <w:sz w:val="24"/>
          <w:szCs w:val="24"/>
          <w:lang w:val="en-US" w:eastAsia="zh-CN"/>
        </w:rPr>
      </w:pPr>
      <w:r>
        <w:rPr>
          <w:rFonts w:hint="eastAsia"/>
          <w:b w:val="0"/>
          <w:bCs w:val="0"/>
          <w:sz w:val="24"/>
          <w:szCs w:val="24"/>
          <w:lang w:val="en-US" w:eastAsia="zh-CN"/>
        </w:rPr>
        <w:t>区域削减及淘汰落后产能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b w:val="0"/>
          <w:bCs w:val="0"/>
          <w:sz w:val="24"/>
          <w:szCs w:val="24"/>
          <w:lang w:val="en-US" w:eastAsia="zh-CN"/>
        </w:rPr>
      </w:pPr>
      <w:r>
        <w:rPr>
          <w:rFonts w:hint="eastAsia"/>
          <w:b w:val="0"/>
          <w:bCs w:val="0"/>
          <w:sz w:val="24"/>
          <w:szCs w:val="24"/>
          <w:lang w:val="en-US" w:eastAsia="zh-CN"/>
        </w:rPr>
        <w:t>不涉及</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b w:val="0"/>
          <w:bCs w:val="0"/>
          <w:sz w:val="24"/>
          <w:szCs w:val="24"/>
          <w:lang w:val="en-US" w:eastAsia="zh-CN"/>
        </w:rPr>
      </w:pPr>
      <w:r>
        <w:rPr>
          <w:rFonts w:hint="eastAsia"/>
          <w:b w:val="0"/>
          <w:bCs w:val="0"/>
          <w:sz w:val="24"/>
          <w:szCs w:val="24"/>
          <w:lang w:val="en-US" w:eastAsia="zh-CN"/>
        </w:rPr>
        <w:t>防护距离控制及居民搬迁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outlineLvl w:val="9"/>
        <w:rPr>
          <w:rFonts w:hint="eastAsia"/>
          <w:b w:val="0"/>
          <w:bCs w:val="0"/>
          <w:sz w:val="24"/>
          <w:szCs w:val="24"/>
          <w:lang w:val="en-US" w:eastAsia="zh-CN"/>
        </w:rPr>
      </w:pPr>
      <w:r>
        <w:rPr>
          <w:rFonts w:hint="eastAsia"/>
          <w:b w:val="0"/>
          <w:bCs w:val="0"/>
          <w:sz w:val="24"/>
          <w:szCs w:val="24"/>
          <w:lang w:val="en-US" w:eastAsia="zh-CN"/>
        </w:rPr>
        <w:t>不涉及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outlineLvl w:val="9"/>
        <w:rPr>
          <w:rFonts w:hint="eastAsia"/>
          <w:b/>
          <w:bCs/>
          <w:sz w:val="28"/>
          <w:szCs w:val="28"/>
          <w:lang w:val="en-US" w:eastAsia="zh-CN"/>
        </w:rPr>
      </w:pPr>
      <w:r>
        <w:rPr>
          <w:rFonts w:hint="eastAsia"/>
          <w:b/>
          <w:bCs/>
          <w:sz w:val="28"/>
          <w:szCs w:val="28"/>
          <w:lang w:val="en-US" w:eastAsia="zh-CN"/>
        </w:rPr>
        <w:t>2.3其他措施落实情况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outlineLvl w:val="9"/>
        <w:rPr>
          <w:rFonts w:hint="eastAsia"/>
          <w:b w:val="0"/>
          <w:bCs w:val="0"/>
          <w:sz w:val="28"/>
          <w:szCs w:val="28"/>
          <w:lang w:val="en-US" w:eastAsia="zh-CN"/>
        </w:rPr>
      </w:pPr>
      <w:r>
        <w:rPr>
          <w:rFonts w:hint="eastAsia"/>
          <w:b w:val="0"/>
          <w:bCs w:val="0"/>
          <w:sz w:val="24"/>
          <w:szCs w:val="24"/>
          <w:lang w:val="en-US" w:eastAsia="zh-CN"/>
        </w:rPr>
        <w:t>不涉及</w:t>
      </w:r>
    </w:p>
    <w:p>
      <w:pPr>
        <w:jc w:val="left"/>
        <w:rPr>
          <w:rFonts w:hint="eastAsia"/>
          <w:b w:val="0"/>
          <w:bCs w:val="0"/>
          <w:sz w:val="28"/>
          <w:szCs w:val="28"/>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CB1356"/>
    <w:multiLevelType w:val="singleLevel"/>
    <w:tmpl w:val="CDCB135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5765BC"/>
    <w:rsid w:val="2B141671"/>
    <w:rsid w:val="2B3305FD"/>
    <w:rsid w:val="2D233ADB"/>
    <w:rsid w:val="3E381CB8"/>
    <w:rsid w:val="46A16194"/>
    <w:rsid w:val="49BF5F6B"/>
    <w:rsid w:val="4EF96DC4"/>
    <w:rsid w:val="57C604E1"/>
    <w:rsid w:val="72C5238E"/>
    <w:rsid w:val="744E556B"/>
    <w:rsid w:val="76B311B6"/>
    <w:rsid w:val="7C0647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2018-10-09T01:50:31Z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